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64" w:rsidRDefault="009F5B64" w:rsidP="009F5B64">
      <w:pPr>
        <w:jc w:val="center"/>
      </w:pPr>
      <w:r>
        <w:rPr>
          <w:noProof/>
        </w:rPr>
        <w:drawing>
          <wp:inline distT="0" distB="0" distL="0" distR="0">
            <wp:extent cx="692785" cy="83121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64" w:rsidRDefault="009F5B64" w:rsidP="009F5B64">
      <w:pPr>
        <w:pStyle w:val="a5"/>
        <w:spacing w:before="240"/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КАБІНЕТ МІНІСТРІВ УКРАЇНИ</w:t>
      </w:r>
    </w:p>
    <w:p w:rsidR="009F5B64" w:rsidRDefault="009F5B64" w:rsidP="009F5B64">
      <w:pPr>
        <w:pStyle w:val="a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ПОСТАНОВА</w:t>
      </w:r>
    </w:p>
    <w:p w:rsidR="009F5B64" w:rsidRDefault="009F5B64" w:rsidP="009F5B64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від 4 червня 2015 р. № 361</w:t>
      </w:r>
    </w:p>
    <w:p w:rsidR="009F5B64" w:rsidRDefault="009F5B64" w:rsidP="009F5B64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Київ</w:t>
      </w:r>
    </w:p>
    <w:p w:rsidR="009F5B64" w:rsidRDefault="009F5B64" w:rsidP="009F5B64">
      <w:pPr>
        <w:pStyle w:val="a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Про внесення змін у додаток до </w:t>
      </w:r>
      <w:r>
        <w:rPr>
          <w:rFonts w:ascii="Verdana" w:hAnsi="Verdana"/>
          <w:sz w:val="16"/>
          <w:szCs w:val="16"/>
        </w:rPr>
        <w:br/>
        <w:t xml:space="preserve">постанови Кабінету Міністрів України </w:t>
      </w:r>
      <w:r>
        <w:rPr>
          <w:rFonts w:ascii="Verdana" w:hAnsi="Verdana"/>
          <w:sz w:val="16"/>
          <w:szCs w:val="16"/>
        </w:rPr>
        <w:br/>
        <w:t>від 29 лютого 2012 р. № 306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Кабінет Міністрів України </w:t>
      </w:r>
      <w:r>
        <w:rPr>
          <w:rFonts w:ascii="Verdana" w:hAnsi="Verdana"/>
          <w:b/>
          <w:sz w:val="16"/>
          <w:szCs w:val="16"/>
        </w:rPr>
        <w:t>постановляє: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Внести зміни у додаток до постанови Кабінету Міністрів України від 29 лютого 2012 р. № 306 “Про затвердження критеріїв,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у сфері техногенної та пожежної безпеки” (Офіційний вісник України, 2012 р., № 30, ст. 1115), виклавши його в редакції, що додається.</w:t>
      </w:r>
    </w:p>
    <w:tbl>
      <w:tblPr>
        <w:tblW w:w="8505" w:type="dxa"/>
        <w:tblLook w:val="04A0"/>
      </w:tblPr>
      <w:tblGrid>
        <w:gridCol w:w="4252"/>
        <w:gridCol w:w="4253"/>
      </w:tblGrid>
      <w:tr w:rsidR="009F5B64" w:rsidTr="009F5B64">
        <w:tc>
          <w:tcPr>
            <w:tcW w:w="4252" w:type="dxa"/>
          </w:tcPr>
          <w:p w:rsidR="009F5B64" w:rsidRDefault="009F5B64">
            <w:pPr>
              <w:spacing w:before="60" w:after="60"/>
              <w:ind w:firstLine="567"/>
              <w:rPr>
                <w:rFonts w:ascii="Verdana" w:hAnsi="Verdana"/>
                <w:b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ind w:firstLine="567"/>
              <w:rPr>
                <w:rFonts w:ascii="Verdana" w:hAnsi="Verdana"/>
                <w:b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ind w:firstLine="567"/>
              <w:rPr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Прем’єр-міністр України</w:t>
            </w:r>
          </w:p>
        </w:tc>
        <w:tc>
          <w:tcPr>
            <w:tcW w:w="4253" w:type="dxa"/>
          </w:tcPr>
          <w:p w:rsidR="009F5B64" w:rsidRDefault="009F5B64">
            <w:pPr>
              <w:spacing w:before="60" w:after="60"/>
              <w:ind w:firstLine="567"/>
              <w:rPr>
                <w:rFonts w:ascii="Verdana" w:hAnsi="Verdana"/>
                <w:b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ind w:firstLine="85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ind w:firstLine="851"/>
              <w:jc w:val="center"/>
              <w:rPr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А. ЯЦЕНЮК</w:t>
            </w:r>
          </w:p>
        </w:tc>
      </w:tr>
      <w:tr w:rsidR="009F5B64" w:rsidTr="009F5B64">
        <w:tc>
          <w:tcPr>
            <w:tcW w:w="4252" w:type="dxa"/>
          </w:tcPr>
          <w:p w:rsidR="009F5B64" w:rsidRDefault="009F5B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9F5B64" w:rsidRDefault="009F5B6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Інд. 75</w:t>
            </w:r>
          </w:p>
          <w:p w:rsidR="009F5B64" w:rsidRDefault="009F5B64">
            <w:pPr>
              <w:spacing w:before="60" w:after="60"/>
            </w:pPr>
          </w:p>
        </w:tc>
        <w:tc>
          <w:tcPr>
            <w:tcW w:w="4253" w:type="dxa"/>
          </w:tcPr>
          <w:p w:rsidR="009F5B64" w:rsidRDefault="009F5B64">
            <w:pPr>
              <w:spacing w:before="60" w:after="60"/>
              <w:ind w:firstLine="567"/>
            </w:pPr>
          </w:p>
        </w:tc>
      </w:tr>
    </w:tbl>
    <w:p w:rsidR="009F5B64" w:rsidRDefault="009F5B64" w:rsidP="009F5B64">
      <w:pPr>
        <w:pStyle w:val="a4"/>
        <w:tabs>
          <w:tab w:val="left" w:pos="6521"/>
        </w:tabs>
        <w:spacing w:before="1200"/>
        <w:jc w:val="both"/>
        <w:rPr>
          <w:rFonts w:ascii="Verdana" w:hAnsi="Verdana"/>
          <w:b w:val="0"/>
          <w:position w:val="0"/>
          <w:sz w:val="16"/>
          <w:szCs w:val="16"/>
        </w:rPr>
      </w:pPr>
    </w:p>
    <w:p w:rsidR="009F5B64" w:rsidRDefault="009F5B64" w:rsidP="009F5B64">
      <w:pPr>
        <w:pStyle w:val="a9"/>
        <w:ind w:left="2694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lang w:val="uk-UA"/>
        </w:rPr>
        <w:br w:type="page"/>
      </w:r>
      <w:r>
        <w:rPr>
          <w:rFonts w:ascii="Verdana" w:hAnsi="Verdana"/>
          <w:sz w:val="16"/>
          <w:szCs w:val="16"/>
        </w:rPr>
        <w:lastRenderedPageBreak/>
        <w:t xml:space="preserve">Додаток </w:t>
      </w:r>
      <w:r>
        <w:rPr>
          <w:rFonts w:ascii="Verdana" w:hAnsi="Verdana"/>
          <w:sz w:val="16"/>
          <w:szCs w:val="16"/>
        </w:rPr>
        <w:br/>
        <w:t xml:space="preserve">до постанови Кабінету Міністрів України </w:t>
      </w:r>
      <w:r>
        <w:rPr>
          <w:rFonts w:ascii="Verdana" w:hAnsi="Verdana"/>
          <w:sz w:val="16"/>
          <w:szCs w:val="16"/>
        </w:rPr>
        <w:br/>
        <w:t>від 29 лютого 2012 р. № 306</w:t>
      </w:r>
      <w:r>
        <w:rPr>
          <w:rFonts w:ascii="Verdana" w:hAnsi="Verdana"/>
          <w:sz w:val="16"/>
          <w:szCs w:val="16"/>
        </w:rPr>
        <w:br/>
        <w:t xml:space="preserve">(в редакції постанови Кабінету Міністрів України </w:t>
      </w:r>
      <w:r>
        <w:rPr>
          <w:rFonts w:ascii="Verdana" w:hAnsi="Verdana"/>
          <w:sz w:val="16"/>
          <w:szCs w:val="16"/>
        </w:rPr>
        <w:br/>
        <w:t>від 4 червня 2015 р. № 361)</w:t>
      </w:r>
    </w:p>
    <w:p w:rsidR="009F5B64" w:rsidRDefault="009F5B64" w:rsidP="009F5B64">
      <w:pPr>
        <w:pStyle w:val="a8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КРИТЕРІЇ,</w:t>
      </w:r>
      <w:r>
        <w:rPr>
          <w:rFonts w:ascii="Verdana" w:hAnsi="Verdana"/>
          <w:b w:val="0"/>
          <w:sz w:val="16"/>
          <w:szCs w:val="16"/>
        </w:rPr>
        <w:br/>
        <w:t>за якими оцінюється ступінь ризику від провадження</w:t>
      </w:r>
      <w:r>
        <w:rPr>
          <w:rFonts w:ascii="Verdana" w:hAnsi="Verdana"/>
          <w:b w:val="0"/>
          <w:sz w:val="16"/>
          <w:szCs w:val="16"/>
        </w:rPr>
        <w:br/>
        <w:t xml:space="preserve">господарської діяльності та визначається періодичність </w:t>
      </w:r>
      <w:r>
        <w:rPr>
          <w:rFonts w:ascii="Verdana" w:hAnsi="Verdana"/>
          <w:b w:val="0"/>
          <w:sz w:val="16"/>
          <w:szCs w:val="16"/>
        </w:rPr>
        <w:br/>
        <w:t xml:space="preserve">здійснення планових заходів державного нагляду (контролю) </w:t>
      </w:r>
      <w:r>
        <w:rPr>
          <w:rFonts w:ascii="Verdana" w:hAnsi="Verdana"/>
          <w:b w:val="0"/>
          <w:sz w:val="16"/>
          <w:szCs w:val="16"/>
        </w:rPr>
        <w:br/>
        <w:t xml:space="preserve">у сфері техногенної та пожежної безпеки 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Критеріями, за якими оцінюється ступінь ризику від провадження господарської діяльності у сфері техногенної та пожежної безпеки, є: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провадження такої діяльності на: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потенційно небезпечних об’єктах, об’єктах підвищеної небезпеки, а також на об’єктах, що мають стратегічне значення для економіки і безпеки держави, за переліком, затвердженим постановою Кабінету Міністрів України від 4 березня 2015 р. № 83 (Офіційний вісник України, 2015 р., № 20, ст. 555);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об’єктах, віднесених до відповідної категорії за вибухопожежною та пожежною небезпекою (визначається відповідно до НАПБ Б.03.002-2007 “Норми визначення категорій приміщень, будинків та зовнішніх установок за вибухопожежною та пожежною небезпекою”);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кількість осіб, які перебувають на об’єкті (визначається відповідно до ДCTУ-Н Б В.1.2-16:2013 “Визначення класу наслідків (відповідальності) та категорії складності об’єктів будівництва”);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3) умовна висота будинку (визначається відповідно до </w:t>
      </w:r>
      <w:r>
        <w:rPr>
          <w:rFonts w:ascii="Verdana" w:hAnsi="Verdana"/>
          <w:sz w:val="16"/>
          <w:szCs w:val="16"/>
        </w:rPr>
        <w:br/>
        <w:t>ДБН В.1.1.7-2002 “Захист від пожежі. Пожежна безпека об’єктів будівництва”);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4) площа об’єкта;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5) категорія складності об’єкта будівництва (визначається відповідно до ДCTУ-Н Б В.1.2-16:2013 “Визначення класу наслідків (відповідальності) та категорії складності об’єктів будівництва”);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6) наявність підземних та/або підвальних поверхів, приміщень, споруд (визначається відповідно до ДБН В.2.2-9:2009 “Будинки і споруди. Громадські будинки та споруди. Основні положення”);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7) належність об’єкта до пам’яток архітектури та історії;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8) надання послуг і виконання робіт протипожежного призначення.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Відповідно до встановлених критеріїв суб’єкти господарювання відносяться до одного з трьох ступенів ризику — високого, середнього або незначного.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До суб’єктів господарювання з високим ступенем ризику відносяться суб’єкти: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які провадять діяльність на території та/або у приміщеннях, що належать їм на праві власності, володіння, користування: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 підвищеної небезпеки та об’єктів, що мають стратегічне значення для економіки і безпеки держави;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промислових, складських будівель (споруд), зовнішніх установок, які за вибухопожежною небезпекою належать до категорії “А” або “Б”;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промислових, складських будівель (споруд), зовнішніх установок, які за пожежною небезпекою належать до категорії “В”, площею: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abp" w:val="193"/>
          <w:attr w:name="productid" w:val="500 кв. метрів"/>
        </w:smartTagPr>
        <w:r>
          <w:rPr>
            <w:rFonts w:ascii="Verdana" w:hAnsi="Verdana"/>
            <w:sz w:val="16"/>
            <w:szCs w:val="16"/>
          </w:rPr>
          <w:t>500 кв. метрів</w:t>
        </w:r>
      </w:smartTag>
      <w:r>
        <w:rPr>
          <w:rFonts w:ascii="Verdana" w:hAnsi="Verdana"/>
          <w:sz w:val="16"/>
          <w:szCs w:val="16"/>
        </w:rPr>
        <w:t xml:space="preserve"> та більше — для промислових будівель (споруд), зовнішніх установок;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smartTag w:uri="urn:schemas-microsoft-com:office:smarttags" w:element="metricconverter">
        <w:smartTagPr>
          <w:attr w:name="abp" w:val="197"/>
          <w:attr w:name="productid" w:val="1000 кв. метрів"/>
        </w:smartTagPr>
        <w:r>
          <w:rPr>
            <w:rFonts w:ascii="Verdana" w:hAnsi="Verdana"/>
            <w:sz w:val="16"/>
            <w:szCs w:val="16"/>
          </w:rPr>
          <w:t>1000 кв. метрів</w:t>
        </w:r>
      </w:smartTag>
      <w:r>
        <w:rPr>
          <w:rFonts w:ascii="Verdana" w:hAnsi="Verdana"/>
          <w:sz w:val="16"/>
          <w:szCs w:val="16"/>
        </w:rPr>
        <w:t xml:space="preserve"> та більше — для складських будівель (споруд);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на яких передбачено перебування 50 або більше осіб, що мають хоча б одну з таких ознак: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розташовані на підвальних та/або підземних поверхах;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працюють у нічний час (з 23 по 7 годину);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на яких передбачено перебування 100 або більше осіб;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об’єктів, які є будинками та/або спорудами з умовною висотою понад </w:t>
      </w:r>
      <w:smartTag w:uri="urn:schemas-microsoft-com:office:smarttags" w:element="metricconverter">
        <w:smartTagPr>
          <w:attr w:name="abp" w:val="213"/>
          <w:attr w:name="productid" w:val="47 метрів"/>
        </w:smartTagPr>
        <w:r>
          <w:rPr>
            <w:rFonts w:ascii="Verdana" w:hAnsi="Verdana"/>
            <w:sz w:val="16"/>
            <w:szCs w:val="16"/>
          </w:rPr>
          <w:t>47 метрів</w:t>
        </w:r>
      </w:smartTag>
      <w:r>
        <w:rPr>
          <w:rFonts w:ascii="Verdana" w:hAnsi="Verdana"/>
          <w:sz w:val="16"/>
          <w:szCs w:val="16"/>
        </w:rPr>
        <w:t>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які є пам’яткою архітектури та/або історії національного значення;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які провадять діяльність з будівництва об’єктів IV—V категорії складності;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3) які відповідно до одержаної ліцензії мають право надавати послуги і виконувати роботи протипожежного призначення на території та/або у приміщеннях, які належать суб’єктам господарювання з високим ступенем ризику;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4) які є державною, регіональною, комунальною, об’єктовою аварійно-рятувальною службою, а також аварійно-рятувальною службою громадської організації.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До суб’єктів господарювання із середнім ступенем ризику відносяться суб’єкти: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1) які провадять діяльність на території та/або у приміщеннях, що належать їм на праві власності, володіння, користування: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потенційно небезпечних об’єктів;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промислових, складських будівель (споруд), зовнішніх установок, які за пожежною небезпекою належать до категорії “В”, площею: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від 0 до </w:t>
      </w:r>
      <w:smartTag w:uri="urn:schemas-microsoft-com:office:smarttags" w:element="metricconverter">
        <w:smartTagPr>
          <w:attr w:name="abp" w:val="242"/>
          <w:attr w:name="productid" w:val="500 кв. метрів"/>
        </w:smartTagPr>
        <w:r>
          <w:rPr>
            <w:rFonts w:ascii="Verdana" w:hAnsi="Verdana"/>
            <w:sz w:val="16"/>
            <w:szCs w:val="16"/>
          </w:rPr>
          <w:t>500 кв. метрів</w:t>
        </w:r>
      </w:smartTag>
      <w:r>
        <w:rPr>
          <w:rFonts w:ascii="Verdana" w:hAnsi="Verdana"/>
          <w:sz w:val="16"/>
          <w:szCs w:val="16"/>
        </w:rPr>
        <w:t xml:space="preserve"> — для промислових будівель (споруд), зовнішніх установок;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від 0 до </w:t>
      </w:r>
      <w:smartTag w:uri="urn:schemas-microsoft-com:office:smarttags" w:element="metricconverter">
        <w:smartTagPr>
          <w:attr w:name="abp" w:val="246"/>
          <w:attr w:name="productid" w:val="1000 кв. метрів"/>
        </w:smartTagPr>
        <w:r>
          <w:rPr>
            <w:rFonts w:ascii="Verdana" w:hAnsi="Verdana"/>
            <w:sz w:val="16"/>
            <w:szCs w:val="16"/>
          </w:rPr>
          <w:t>1000 кв. метрів</w:t>
        </w:r>
      </w:smartTag>
      <w:r>
        <w:rPr>
          <w:rFonts w:ascii="Verdana" w:hAnsi="Verdana"/>
          <w:sz w:val="16"/>
          <w:szCs w:val="16"/>
        </w:rPr>
        <w:t xml:space="preserve"> — для складських будівель (споруд);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які розташовані на підвальних та/або підземних поверхах, у приміщеннях, спорудах, в яких передбачено перебування від п’яти до 50 осіб;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у яких передбачено перебування від 50 до 100 осіб, що не належать до групи з високим ступенем ризику;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об’єктів, які є будинками та/або спорудами з умовною висотою від 26,5 до </w:t>
      </w:r>
      <w:smartTag w:uri="urn:schemas-microsoft-com:office:smarttags" w:element="metricconverter">
        <w:smartTagPr>
          <w:attr w:name="abp" w:val="256"/>
          <w:attr w:name="productid" w:val="47 метрів"/>
        </w:smartTagPr>
        <w:r>
          <w:rPr>
            <w:rFonts w:ascii="Verdana" w:hAnsi="Verdana"/>
            <w:sz w:val="16"/>
            <w:szCs w:val="16"/>
          </w:rPr>
          <w:t>47 метрів</w:t>
        </w:r>
      </w:smartTag>
      <w:r>
        <w:rPr>
          <w:rFonts w:ascii="Verdana" w:hAnsi="Verdana"/>
          <w:sz w:val="16"/>
          <w:szCs w:val="16"/>
        </w:rPr>
        <w:t xml:space="preserve"> включно;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об’єктів, які є пам’яткою архітектури та/або історії місцевого значення;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які провадять діяльність: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з будівництва об’єктів I і II категорії складності, площа яких перевищує </w:t>
      </w:r>
      <w:smartTag w:uri="urn:schemas-microsoft-com:office:smarttags" w:element="metricconverter">
        <w:smartTagPr>
          <w:attr w:name="abp" w:val="266"/>
          <w:attr w:name="productid" w:val="300 кв. метрів"/>
        </w:smartTagPr>
        <w:r>
          <w:rPr>
            <w:rFonts w:ascii="Verdana" w:hAnsi="Verdana"/>
            <w:sz w:val="16"/>
            <w:szCs w:val="16"/>
          </w:rPr>
          <w:t>300 кв. метрів</w:t>
        </w:r>
      </w:smartTag>
      <w:r>
        <w:rPr>
          <w:rFonts w:ascii="Verdana" w:hAnsi="Verdana"/>
          <w:sz w:val="16"/>
          <w:szCs w:val="16"/>
        </w:rPr>
        <w:t xml:space="preserve"> (у тому числі вбудовані у будівлі), крім індивідуальних (садибних) житлових будинків, садових, дачних будинків, господарських (присадибних) будівель і споруд, індивідуальних гаражів;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з будівництва об’єктів III категорії складності;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3) які відповідно до одержаної ліцензії мають право надавати послуги і виконувати роботи протипожежного призначення на території та/або у приміщеннях, крім тих, які належать суб’єктам господарювання з високим ступенем ризику.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До суб’єктів господарювання з незначним ступенем ризику відносяться суб’єкти, що не належать до суб’єктів господарювання з високим та середнім ступенем ризику, а також суб’єкти, що мають сертифікати на систему управління якістю, яка відповідає вимогам нормативних документів у галузі пожежної безпеки, що регламентують порядок проектування, монтажу та технічного обслуговування систем протипожежного захисту, і загальним вимогам ДСТУ ISO 9001:2009 “Системи управління якістю. Вимоги” (ISO 9001-2008, IDT).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Планові заходи державного нагляду (контролю) за додержанням суб’єктами господарювання законодавства у сфері техногенної та пожежної безпеки здійснюються з такою періодичністю: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bookmarkStart w:id="0" w:name="n34"/>
      <w:bookmarkEnd w:id="0"/>
      <w:r>
        <w:rPr>
          <w:rFonts w:ascii="Verdana" w:hAnsi="Verdana"/>
          <w:sz w:val="16"/>
          <w:szCs w:val="16"/>
        </w:rPr>
        <w:t>з високим ступенем ризику — не частіше ніж один раз на рік;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bookmarkStart w:id="1" w:name="n35"/>
      <w:bookmarkEnd w:id="1"/>
      <w:r>
        <w:rPr>
          <w:rFonts w:ascii="Verdana" w:hAnsi="Verdana"/>
          <w:sz w:val="16"/>
          <w:szCs w:val="16"/>
        </w:rPr>
        <w:t>із середнім ступенем ризику — не частіше ніж один раз на три роки;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bookmarkStart w:id="2" w:name="n36"/>
      <w:bookmarkEnd w:id="2"/>
      <w:r>
        <w:rPr>
          <w:rFonts w:ascii="Verdana" w:hAnsi="Verdana"/>
          <w:sz w:val="16"/>
          <w:szCs w:val="16"/>
        </w:rPr>
        <w:t>з незначним ступенем ризику — не частіше ніж один раз на п’ять років.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Планові заходи державного нагляду (контролю) за додержанням ліцензійних умов суб’єктами господарювання, які одержали ліцензію на надання послуг і виконання робіт протипожежного призначення, здійснюються з періодичністю, встановленою пунктом 6 цих критеріїв.</w:t>
      </w:r>
    </w:p>
    <w:p w:rsidR="009F5B64" w:rsidRDefault="009F5B64" w:rsidP="009F5B64">
      <w:pPr>
        <w:pStyle w:val="a3"/>
        <w:spacing w:before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У разі коли планові заходи державного нагляду (контролю) за додержанням суб’єктами господарювання законодавства у сфері техногенної та пожежної безпеки і додержанням ними ліцензійних умов здійснюються протягом одного календарного року, зазначені заходи здійснюються одночасно.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У разі коли за результатами не менш як двох останніх планових заходів державного нагляду (контролю), проведених протягом останніх двох років, не виявлено фактів порушення вимог законодавства у сфері техногенної та пожежної безпеки, ліцензійних умов, наступна планова перевірка такого суб’єкта господарювання проводиться не раніше ніж через установлений для відповідного ступеня ризику період, збільшений у 1,5 раза.</w:t>
      </w:r>
    </w:p>
    <w:p w:rsidR="009F5B64" w:rsidRDefault="009F5B64" w:rsidP="009F5B6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У разі коли суб’єкт господарювання може бути віднесений одночасно до двох або більше ступенів ризику, такий суб’єкт належить до більш високого ступеня ризику з числа тих, до яких він може бути віднесений.</w:t>
      </w:r>
    </w:p>
    <w:p w:rsidR="009F5B64" w:rsidRDefault="009F5B64" w:rsidP="009F5B64">
      <w:pPr>
        <w:pStyle w:val="a3"/>
        <w:ind w:firstLine="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</w:t>
      </w:r>
    </w:p>
    <w:p w:rsidR="00037BD0" w:rsidRDefault="00037BD0"/>
    <w:sectPr w:rsidR="00037BD0" w:rsidSect="004766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B64"/>
    <w:rsid w:val="00037BD0"/>
    <w:rsid w:val="00444F92"/>
    <w:rsid w:val="00476677"/>
    <w:rsid w:val="007D6C32"/>
    <w:rsid w:val="009F5B64"/>
    <w:rsid w:val="009F70E6"/>
    <w:rsid w:val="00E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F5B64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rsid w:val="009F5B64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Установа"/>
    <w:basedOn w:val="a"/>
    <w:rsid w:val="009F5B64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9F5B64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9F5B64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9F5B6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9">
    <w:name w:val="Шапка документу"/>
    <w:basedOn w:val="a"/>
    <w:rsid w:val="009F5B64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F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2015-06-15T04:08:00Z</dcterms:created>
  <dcterms:modified xsi:type="dcterms:W3CDTF">2015-06-15T04:09:00Z</dcterms:modified>
</cp:coreProperties>
</file>